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01479" w14:textId="00EC5B81" w:rsidR="00A531BE" w:rsidRPr="00A5504F" w:rsidRDefault="00FD694F" w:rsidP="00A87000">
      <w:pPr>
        <w:pStyle w:val="Titre"/>
        <w:spacing w:line="240" w:lineRule="auto"/>
      </w:pPr>
      <w:r w:rsidRPr="00F05B2E">
        <w:t>T</w:t>
      </w:r>
      <w:r w:rsidR="00A531BE" w:rsidRPr="00F05B2E">
        <w:t xml:space="preserve">itre </w:t>
      </w:r>
      <w:r w:rsidRPr="00F05B2E">
        <w:t>du résumé</w:t>
      </w:r>
      <w:r w:rsidR="00D06EB2">
        <w:t xml:space="preserve"> : </w:t>
      </w:r>
      <w:r w:rsidR="00D06EB2" w:rsidRPr="00D06EB2">
        <w:t>Extrait de « La guerre des laboratoires : Poincaré, Le Chatelier et la Commission scientifique d’étude des poudres de guerre (1907-1908) » Par Patrice Bret CRHST-Centre Alexandre Koyré, Paris</w:t>
      </w:r>
    </w:p>
    <w:p w14:paraId="7CBD433E" w14:textId="23EF6552" w:rsidR="00A531BE" w:rsidRPr="00264D8E" w:rsidRDefault="00CB5538" w:rsidP="00A87000">
      <w:pPr>
        <w:jc w:val="center"/>
        <w:rPr>
          <w:bCs/>
        </w:rPr>
      </w:pPr>
      <w:r w:rsidRPr="00A87000">
        <w:rPr>
          <w:b/>
          <w:bCs/>
        </w:rPr>
        <w:t>Lucie</w:t>
      </w:r>
      <w:r w:rsidR="00A531BE" w:rsidRPr="00264D8E">
        <w:rPr>
          <w:bCs/>
        </w:rPr>
        <w:t xml:space="preserve"> </w:t>
      </w:r>
      <w:r w:rsidR="00A531BE" w:rsidRPr="00A5504F">
        <w:rPr>
          <w:b/>
          <w:bCs/>
        </w:rPr>
        <w:t>PREMIERAUTEUR</w:t>
      </w:r>
      <w:r w:rsidR="00C34DCE">
        <w:rPr>
          <w:bCs/>
          <w:vertAlign w:val="superscript"/>
        </w:rPr>
        <w:t>1</w:t>
      </w:r>
      <w:r w:rsidR="00A531BE" w:rsidRPr="00264D8E">
        <w:rPr>
          <w:bCs/>
        </w:rPr>
        <w:t xml:space="preserve">, </w:t>
      </w:r>
      <w:r w:rsidR="00A531BE" w:rsidRPr="00264D8E">
        <w:t xml:space="preserve">Marie </w:t>
      </w:r>
      <w:r w:rsidR="00A531BE" w:rsidRPr="0001269E">
        <w:t>DEUXIEMEAUTEUR</w:t>
      </w:r>
      <w:r w:rsidR="00C34DCE">
        <w:rPr>
          <w:vertAlign w:val="superscript"/>
        </w:rPr>
        <w:t>2</w:t>
      </w:r>
      <w:r w:rsidR="00A531BE" w:rsidRPr="00264D8E">
        <w:t xml:space="preserve"> et Laurent </w:t>
      </w:r>
      <w:r w:rsidR="00A531BE" w:rsidRPr="0001269E">
        <w:t>TROISIEMEAUTEUR</w:t>
      </w:r>
      <w:r w:rsidR="00D06EB2">
        <w:rPr>
          <w:vertAlign w:val="superscript"/>
        </w:rPr>
        <w:t>3</w:t>
      </w:r>
    </w:p>
    <w:p w14:paraId="5785F59B" w14:textId="789C343C" w:rsidR="00A531BE" w:rsidRPr="00315215" w:rsidRDefault="00D06EB2" w:rsidP="00315215">
      <w:pPr>
        <w:spacing w:after="0"/>
        <w:jc w:val="center"/>
        <w:rPr>
          <w:i/>
        </w:rPr>
      </w:pPr>
      <w:r w:rsidRPr="00315215">
        <w:rPr>
          <w:rStyle w:val="Accentuation"/>
          <w:vertAlign w:val="superscript"/>
        </w:rPr>
        <w:t>1</w:t>
      </w:r>
      <w:r w:rsidR="00A531BE" w:rsidRPr="00315215">
        <w:rPr>
          <w:rStyle w:val="Accentuation"/>
        </w:rPr>
        <w:t>Département</w:t>
      </w:r>
      <w:r w:rsidR="00A531BE" w:rsidRPr="00315215">
        <w:rPr>
          <w:i/>
        </w:rPr>
        <w:t>, Institution, Pays</w:t>
      </w:r>
    </w:p>
    <w:p w14:paraId="492C2841" w14:textId="2E3400DB" w:rsidR="00A531BE" w:rsidRPr="00315215" w:rsidRDefault="00D06EB2" w:rsidP="00315215">
      <w:pPr>
        <w:spacing w:after="0"/>
        <w:jc w:val="center"/>
        <w:rPr>
          <w:i/>
        </w:rPr>
      </w:pPr>
      <w:r w:rsidRPr="00315215">
        <w:rPr>
          <w:i/>
          <w:vertAlign w:val="superscript"/>
        </w:rPr>
        <w:t>2</w:t>
      </w:r>
      <w:r w:rsidR="00A531BE" w:rsidRPr="00315215">
        <w:rPr>
          <w:i/>
        </w:rPr>
        <w:t>Département, Institution, Pays</w:t>
      </w:r>
    </w:p>
    <w:p w14:paraId="3E112380" w14:textId="0431C97F" w:rsidR="00A531BE" w:rsidRPr="00315215" w:rsidRDefault="00D06EB2" w:rsidP="00315215">
      <w:pPr>
        <w:spacing w:after="0"/>
        <w:jc w:val="center"/>
        <w:rPr>
          <w:i/>
        </w:rPr>
      </w:pPr>
      <w:r w:rsidRPr="00315215">
        <w:rPr>
          <w:i/>
          <w:vertAlign w:val="superscript"/>
        </w:rPr>
        <w:t>3</w:t>
      </w:r>
      <w:r w:rsidR="00A531BE" w:rsidRPr="00315215">
        <w:rPr>
          <w:i/>
        </w:rPr>
        <w:t>Département, Institution, Pays</w:t>
      </w:r>
    </w:p>
    <w:p w14:paraId="1E641654" w14:textId="3108B0C6" w:rsidR="00A531BE" w:rsidRPr="0001269E" w:rsidRDefault="00CB5538" w:rsidP="00FC7A9F">
      <w:pPr>
        <w:spacing w:before="240"/>
        <w:jc w:val="center"/>
      </w:pPr>
      <w:r w:rsidRPr="0001269E">
        <w:t>lucie</w:t>
      </w:r>
      <w:r w:rsidR="00A531BE" w:rsidRPr="0001269E">
        <w:t>.premierauteur@universite.org</w:t>
      </w:r>
    </w:p>
    <w:p w14:paraId="24494695" w14:textId="3A10FBB1" w:rsidR="0001269E" w:rsidRPr="00251CD6" w:rsidRDefault="0001269E" w:rsidP="00FC7A9F">
      <w:pPr>
        <w:pStyle w:val="Titre1"/>
        <w:rPr>
          <w:color w:val="31849B" w:themeColor="accent5" w:themeShade="BF"/>
        </w:rPr>
      </w:pPr>
      <w:r w:rsidRPr="00251CD6">
        <w:rPr>
          <w:color w:val="31849B" w:themeColor="accent5" w:themeShade="BF"/>
        </w:rPr>
        <w:t>Quel statut épistémologique pour la chimie des poudres et explosifs ?</w:t>
      </w:r>
    </w:p>
    <w:p w14:paraId="1DF3BE90" w14:textId="6473DE2F" w:rsidR="0001269E" w:rsidRPr="00A5504F" w:rsidRDefault="0001269E" w:rsidP="00315215">
      <w:r w:rsidRPr="00A5504F">
        <w:t>Après six mois de présidence, Poincaré</w:t>
      </w:r>
      <w:r w:rsidR="00D06EB2">
        <w:t xml:space="preserve"> </w:t>
      </w:r>
      <w:r w:rsidRPr="00A5504F">
        <w:t>était toujours déconcerté, voire consterné, par la</w:t>
      </w:r>
      <w:r w:rsidR="00A5504F">
        <w:t xml:space="preserve"> </w:t>
      </w:r>
      <w:r w:rsidRPr="00A5504F">
        <w:t>difficulté qu’avait la chimie à apporter des réponses claires et précises, comme le faisait la</w:t>
      </w:r>
      <w:r w:rsidR="00A5504F">
        <w:t xml:space="preserve"> </w:t>
      </w:r>
      <w:r w:rsidRPr="00A5504F">
        <w:t>mécanique. Implicitement, il questionnait le statut épistémologique d’une science de la</w:t>
      </w:r>
      <w:r w:rsidR="00A5504F">
        <w:t xml:space="preserve"> </w:t>
      </w:r>
      <w:r w:rsidRPr="00A5504F">
        <w:t>matière en construction :</w:t>
      </w:r>
    </w:p>
    <w:p w14:paraId="7B9C0B23" w14:textId="2FC6E662" w:rsidR="0001269E" w:rsidRPr="00A5504F" w:rsidRDefault="0001269E" w:rsidP="00D17389">
      <w:r w:rsidRPr="00A5504F">
        <w:t>« J’ai été frappé d’un fait au cours des discussions, c’est qu’un grand nombre de points</w:t>
      </w:r>
      <w:r w:rsidR="00A5504F">
        <w:t xml:space="preserve"> </w:t>
      </w:r>
      <w:r w:rsidRPr="00A5504F">
        <w:t>importants n’ont pas été étudiés scientifiquement. Ainsi le mécanisme de la décomposition</w:t>
      </w:r>
      <w:r w:rsidR="00A5504F">
        <w:t xml:space="preserve"> </w:t>
      </w:r>
      <w:r w:rsidRPr="00A5504F">
        <w:t>demeure ignoré, la cause de l’emballement etc. ; je ne vois pas qu’on ait fait des analyses de brins</w:t>
      </w:r>
      <w:r w:rsidR="00A5504F">
        <w:t xml:space="preserve"> </w:t>
      </w:r>
      <w:r w:rsidRPr="00A5504F">
        <w:t>arrivés à différents stades de la décomposition pour essayer d’en reconstituer les phases</w:t>
      </w:r>
      <w:r w:rsidR="00A5504F">
        <w:t xml:space="preserve"> </w:t>
      </w:r>
      <w:r w:rsidRPr="00A5504F">
        <w:t>successives</w:t>
      </w:r>
      <w:r w:rsidR="0024322B">
        <w:rPr>
          <w:rStyle w:val="Appelnotedebasdep"/>
        </w:rPr>
        <w:footnoteReference w:id="1"/>
      </w:r>
      <w:r w:rsidRPr="00A5504F">
        <w:t>.</w:t>
      </w:r>
    </w:p>
    <w:p w14:paraId="1BC5376F" w14:textId="583209CD" w:rsidR="0001269E" w:rsidRPr="00A5504F" w:rsidRDefault="0001269E" w:rsidP="00315215">
      <w:r w:rsidRPr="00A5504F">
        <w:t>Autre exemple ; quand il s’est agi des méthodes d’essai, j’ai été frappé de la grandeur de la</w:t>
      </w:r>
      <w:r w:rsidR="00A5504F">
        <w:t xml:space="preserve"> </w:t>
      </w:r>
      <w:r w:rsidRPr="00A5504F">
        <w:t>dispersion et je vous ai demandé si vous ne croyiez pas qu’il y aurait moyen de la diminuer ; je n’ai</w:t>
      </w:r>
      <w:r w:rsidR="00A5504F">
        <w:t xml:space="preserve"> </w:t>
      </w:r>
      <w:r w:rsidRPr="00A5504F">
        <w:t>pas voulu insister, parce que j’aurais eu l’air de critiquer ce qui a été fait, ce qui n’était nullement</w:t>
      </w:r>
      <w:r w:rsidR="00A5504F">
        <w:t xml:space="preserve"> </w:t>
      </w:r>
      <w:r w:rsidRPr="00A5504F">
        <w:t>dans mon intention et parce qu’on aurait pu en abuser contre nous. Sur ces considérations, je ne</w:t>
      </w:r>
      <w:r w:rsidR="00A5504F">
        <w:t xml:space="preserve"> </w:t>
      </w:r>
      <w:r w:rsidRPr="00A5504F">
        <w:t>vous aurais certes pas contredit, puisque je n’ai aucune espèce de compétence en la matière, mais je</w:t>
      </w:r>
      <w:r w:rsidR="00A5504F">
        <w:t xml:space="preserve"> </w:t>
      </w:r>
      <w:r w:rsidRPr="00A5504F">
        <w:t>vous aurais demandé des explications complémentaires ; je vous aurais demandé par exemple dans</w:t>
      </w:r>
      <w:r w:rsidR="00A5504F">
        <w:t xml:space="preserve"> </w:t>
      </w:r>
      <w:r w:rsidRPr="00A5504F">
        <w:t>quelle mesure on peut compter sur le fonctionnement du papier de tournesol à de si hautes</w:t>
      </w:r>
      <w:r w:rsidR="00A5504F">
        <w:t xml:space="preserve"> </w:t>
      </w:r>
      <w:r w:rsidRPr="00A5504F">
        <w:t>températures. »</w:t>
      </w:r>
    </w:p>
    <w:p w14:paraId="058C6062" w14:textId="50E6D00A" w:rsidR="00D415AC" w:rsidRPr="00FD694F" w:rsidRDefault="00D06EB2" w:rsidP="00315215">
      <w:pPr>
        <w:jc w:val="center"/>
      </w:pPr>
      <w:r>
        <w:rPr>
          <w:noProof/>
        </w:rPr>
        <w:drawing>
          <wp:inline distT="0" distB="0" distL="0" distR="0" wp14:anchorId="088FBF8C" wp14:editId="605F330D">
            <wp:extent cx="2407920" cy="1770655"/>
            <wp:effectExtent l="0" t="0" r="0" b="1270"/>
            <wp:docPr id="1" name="Image 1" descr="https://thumb.wikimedia.org/wikipedia/commons/thumb/8/81/Buste-archives-poincare.png/330px-Buste-archives-poincare.png?utm_source=fr.wikipedia.org&amp;utm_campaign=parser&amp;utm_content=thumbn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humb.wikimedia.org/wikipedia/commons/thumb/8/81/Buste-archives-poincare.png/330px-Buste-archives-poincare.png?utm_source=fr.wikipedia.org&amp;utm_campaign=parser&amp;utm_content=thumbnai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480" cy="1781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C62F5" w14:textId="7E190B8E" w:rsidR="00D415AC" w:rsidRPr="00251CD6" w:rsidRDefault="00315215" w:rsidP="00315215">
      <w:pPr>
        <w:pStyle w:val="Lgende"/>
        <w:rPr>
          <w:rStyle w:val="Rfrencelgre"/>
          <w:rFonts w:asciiTheme="minorHAnsi" w:eastAsiaTheme="minorEastAsia" w:hAnsiTheme="minorHAnsi"/>
          <w:lang w:val="fr-FR"/>
        </w:rPr>
      </w:pPr>
      <w:r w:rsidRPr="00251CD6">
        <w:rPr>
          <w:rStyle w:val="Rfrencelgre"/>
          <w:rFonts w:asciiTheme="minorHAnsi" w:hAnsiTheme="minorHAnsi"/>
          <w:lang w:val="fr-FR"/>
        </w:rPr>
        <w:t>Figure</w:t>
      </w:r>
      <w:r w:rsidR="00FC7A9F" w:rsidRPr="00251CD6">
        <w:rPr>
          <w:rStyle w:val="Rfrencelgre"/>
          <w:rFonts w:asciiTheme="minorHAnsi" w:hAnsiTheme="minorHAnsi"/>
          <w:lang w:val="fr-FR"/>
        </w:rPr>
        <w:t>.</w:t>
      </w:r>
      <w:r w:rsidRPr="00251CD6">
        <w:rPr>
          <w:rStyle w:val="Rfrencelgre"/>
          <w:rFonts w:asciiTheme="minorHAnsi" w:hAnsiTheme="minorHAnsi"/>
          <w:lang w:val="fr-FR"/>
        </w:rPr>
        <w:t xml:space="preserve"> </w:t>
      </w:r>
      <w:r w:rsidRPr="00251CD6">
        <w:rPr>
          <w:rStyle w:val="Accentuationlgre"/>
          <w:rFonts w:asciiTheme="minorHAnsi" w:hAnsiTheme="minorHAnsi"/>
          <w:color w:val="7F7F7F" w:themeColor="text1" w:themeTint="80"/>
          <w:lang w:val="fr-FR"/>
        </w:rPr>
        <w:t>Buste</w:t>
      </w:r>
      <w:r w:rsidRPr="00251CD6">
        <w:rPr>
          <w:rStyle w:val="Rfrencelgre"/>
          <w:rFonts w:asciiTheme="minorHAnsi" w:hAnsiTheme="minorHAnsi"/>
          <w:lang w:val="fr-FR"/>
        </w:rPr>
        <w:t xml:space="preserve"> d'Henri Poincaré dans la bibliothèque de Nancy, par Joseph Carlier en 1909</w:t>
      </w:r>
      <w:r w:rsidR="005850BD" w:rsidRPr="00251CD6">
        <w:rPr>
          <w:rStyle w:val="Rfrencelgre"/>
          <w:rFonts w:asciiTheme="minorHAnsi" w:hAnsiTheme="minorHAnsi"/>
          <w:lang w:val="fr-FR"/>
        </w:rPr>
        <w:t>.</w:t>
      </w:r>
    </w:p>
    <w:p w14:paraId="2E35923C" w14:textId="77777777" w:rsidR="00315215" w:rsidRPr="00251CD6" w:rsidRDefault="00315215" w:rsidP="00FC7A9F">
      <w:pPr>
        <w:pStyle w:val="Titre1"/>
        <w:rPr>
          <w:color w:val="31849B" w:themeColor="accent5" w:themeShade="BF"/>
        </w:rPr>
      </w:pPr>
      <w:r w:rsidRPr="00251CD6">
        <w:rPr>
          <w:color w:val="31849B" w:themeColor="accent5" w:themeShade="BF"/>
        </w:rPr>
        <w:t>Quel statut épistémologique pour le laboratoire ?</w:t>
      </w:r>
    </w:p>
    <w:p w14:paraId="31535CD8" w14:textId="7622BFBF" w:rsidR="00E827E3" w:rsidRPr="00FD694F" w:rsidRDefault="00315215" w:rsidP="00315215">
      <w:r>
        <w:t xml:space="preserve">L’échange entre Poincaré et Le Chatelier à propos de la dispersion à l’épreuve à 110° témoigne aussi de la difficulté à discuter sereinement des problèmes scientifiques au sein de la commission. Dans les réunions formelles, le président de la Commission scientifique d’étude des poudres de guerre se retenait de poser à l’expert chimiste toute question qui risquait de faire le jeu de leurs opposants, en soulignant, par exemple, certaines lacunes de la recherche dont la responsabilité pouvait être imputée à Vieille. Aussi les académiciens profitaient-ils des séances à l’Institut pour discuter plus à leur aise et échanger leurs remarques, qu’ils poursuivaient ensuite dans leur correspondance, et pour élaborer leur stratégie. Ainsi, à la séance académique du 21 octobre, Poincaré proposa à Le Chatelier une solution qui devait à la </w:t>
      </w:r>
      <w:r>
        <w:lastRenderedPageBreak/>
        <w:t>fois faire disparaître la rivalité entre les laboratoires des services et faire taire les assauts du lobby industriel : former un nouveau laboratoire indépendant. Restait à savoir à quel conseil ou quel individu confier la direction.</w:t>
      </w:r>
    </w:p>
    <w:p w14:paraId="661D9D6A" w14:textId="21DD3628" w:rsidR="00E827E3" w:rsidRPr="00D17389" w:rsidRDefault="00E827E3" w:rsidP="00315215">
      <w:pPr>
        <w:pStyle w:val="TableTitle"/>
        <w:rPr>
          <w:rStyle w:val="Rfrencelgre"/>
          <w:rFonts w:eastAsiaTheme="minorEastAsia"/>
        </w:rPr>
      </w:pPr>
      <w:r w:rsidRPr="00D17389">
        <w:rPr>
          <w:rStyle w:val="Rfrencelgre"/>
          <w:rFonts w:eastAsiaTheme="minorEastAsia"/>
        </w:rPr>
        <w:t xml:space="preserve">Tableau . </w:t>
      </w:r>
      <w:proofErr w:type="spellStart"/>
      <w:r w:rsidR="00FC7A9F" w:rsidRPr="00D17389">
        <w:rPr>
          <w:rStyle w:val="Rfrencelgre"/>
          <w:rFonts w:eastAsiaTheme="minorEastAsia"/>
        </w:rPr>
        <w:t>Légende</w:t>
      </w:r>
      <w:proofErr w:type="spellEnd"/>
      <w:r w:rsidR="00FC7A9F" w:rsidRPr="00D17389">
        <w:rPr>
          <w:rStyle w:val="Rfrencelgre"/>
          <w:rFonts w:eastAsiaTheme="minorEastAsia"/>
        </w:rPr>
        <w:t xml:space="preserve"> de tableau</w:t>
      </w:r>
      <w:r w:rsidRPr="00D17389">
        <w:rPr>
          <w:rStyle w:val="Rfrencelgre"/>
          <w:rFonts w:eastAsiaTheme="minorEastAsia"/>
        </w:rPr>
        <w:t xml:space="preserve">. </w:t>
      </w:r>
    </w:p>
    <w:tbl>
      <w:tblPr>
        <w:tblStyle w:val="Grilledutableau"/>
        <w:tblW w:w="73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559"/>
        <w:gridCol w:w="1559"/>
      </w:tblGrid>
      <w:tr w:rsidR="00E827E3" w:rsidRPr="00FC7A9F" w14:paraId="63690AD2" w14:textId="77777777" w:rsidTr="00FC7A9F">
        <w:trPr>
          <w:jc w:val="center"/>
        </w:trPr>
        <w:tc>
          <w:tcPr>
            <w:tcW w:w="4248" w:type="dxa"/>
            <w:tcBorders>
              <w:top w:val="single" w:sz="12" w:space="0" w:color="auto"/>
              <w:bottom w:val="single" w:sz="12" w:space="0" w:color="auto"/>
            </w:tcBorders>
          </w:tcPr>
          <w:p w14:paraId="660BD3F5" w14:textId="77777777" w:rsidR="00E827E3" w:rsidRPr="00FC7A9F" w:rsidRDefault="00E827E3" w:rsidP="00FC7A9F">
            <w:pPr>
              <w:rPr>
                <w:b/>
              </w:rPr>
            </w:pPr>
            <w:r w:rsidRPr="00FC7A9F">
              <w:rPr>
                <w:b/>
              </w:rPr>
              <w:t>Colonne 1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6ECF567C" w14:textId="77777777" w:rsidR="00E827E3" w:rsidRPr="00FC7A9F" w:rsidRDefault="00E827E3" w:rsidP="00894606">
            <w:pPr>
              <w:jc w:val="center"/>
              <w:rPr>
                <w:b/>
              </w:rPr>
            </w:pPr>
            <w:r w:rsidRPr="00FC7A9F">
              <w:rPr>
                <w:b/>
              </w:rPr>
              <w:t>Colonne 2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2335D640" w14:textId="215E4D7F" w:rsidR="00E827E3" w:rsidRPr="00FC7A9F" w:rsidRDefault="00E827E3" w:rsidP="00894606">
            <w:pPr>
              <w:jc w:val="center"/>
              <w:rPr>
                <w:b/>
              </w:rPr>
            </w:pPr>
            <w:r w:rsidRPr="00FC7A9F">
              <w:rPr>
                <w:b/>
              </w:rPr>
              <w:t>Colonne 3</w:t>
            </w:r>
          </w:p>
        </w:tc>
      </w:tr>
      <w:tr w:rsidR="00E827E3" w:rsidRPr="00FD694F" w14:paraId="296ED2E2" w14:textId="77777777" w:rsidTr="00FC7A9F">
        <w:trPr>
          <w:jc w:val="center"/>
        </w:trPr>
        <w:tc>
          <w:tcPr>
            <w:tcW w:w="4248" w:type="dxa"/>
            <w:tcBorders>
              <w:top w:val="single" w:sz="12" w:space="0" w:color="auto"/>
            </w:tcBorders>
          </w:tcPr>
          <w:p w14:paraId="4FD1159F" w14:textId="6CEF6F4F" w:rsidR="00E827E3" w:rsidRPr="00FD694F" w:rsidRDefault="00E827E3" w:rsidP="00894606">
            <w:pPr>
              <w:jc w:val="left"/>
            </w:pPr>
            <w:r w:rsidRPr="00FD694F">
              <w:t>Alignez le texte à gauche dans les lignes du tableau pour une meilleure lisibilité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23374DDB" w14:textId="40B0D740" w:rsidR="00E827E3" w:rsidRPr="00FD694F" w:rsidRDefault="00894606" w:rsidP="00FC7A9F">
            <w:pPr>
              <w:jc w:val="center"/>
            </w:pPr>
            <w:r>
              <w:t>1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BB27CEA" w14:textId="16B997F0" w:rsidR="00E827E3" w:rsidRPr="00FD694F" w:rsidRDefault="00894606" w:rsidP="00FC7A9F">
            <w:pPr>
              <w:jc w:val="center"/>
            </w:pPr>
            <w:r>
              <w:t>10</w:t>
            </w:r>
          </w:p>
        </w:tc>
      </w:tr>
      <w:tr w:rsidR="00E827E3" w:rsidRPr="00FD694F" w14:paraId="4B4953BD" w14:textId="77777777" w:rsidTr="00FC7A9F">
        <w:trPr>
          <w:jc w:val="center"/>
        </w:trPr>
        <w:tc>
          <w:tcPr>
            <w:tcW w:w="4248" w:type="dxa"/>
          </w:tcPr>
          <w:p w14:paraId="1B9CF295" w14:textId="77777777" w:rsidR="00E827E3" w:rsidRPr="00FD694F" w:rsidRDefault="00E827E3" w:rsidP="00FC7A9F">
            <w:r w:rsidRPr="00FD694F">
              <w:t>Texte 1</w:t>
            </w:r>
          </w:p>
        </w:tc>
        <w:tc>
          <w:tcPr>
            <w:tcW w:w="1559" w:type="dxa"/>
          </w:tcPr>
          <w:p w14:paraId="6F1306BB" w14:textId="0B65AAF3" w:rsidR="00E827E3" w:rsidRPr="00FD694F" w:rsidRDefault="00894606" w:rsidP="00FC7A9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47F63483" w14:textId="1E3ADE64" w:rsidR="00E827E3" w:rsidRPr="00FD694F" w:rsidRDefault="00894606" w:rsidP="00FC7A9F">
            <w:pPr>
              <w:jc w:val="center"/>
            </w:pPr>
            <w:r>
              <w:t>20</w:t>
            </w:r>
          </w:p>
        </w:tc>
      </w:tr>
      <w:tr w:rsidR="00E827E3" w:rsidRPr="00FD694F" w14:paraId="075D3BF1" w14:textId="77777777" w:rsidTr="00FC7A9F">
        <w:trPr>
          <w:jc w:val="center"/>
        </w:trPr>
        <w:tc>
          <w:tcPr>
            <w:tcW w:w="4248" w:type="dxa"/>
          </w:tcPr>
          <w:p w14:paraId="571E64CE" w14:textId="77777777" w:rsidR="00E827E3" w:rsidRPr="00FD694F" w:rsidRDefault="00E827E3" w:rsidP="00FC7A9F">
            <w:r w:rsidRPr="00FD694F">
              <w:t>Texte 2</w:t>
            </w:r>
          </w:p>
        </w:tc>
        <w:tc>
          <w:tcPr>
            <w:tcW w:w="1559" w:type="dxa"/>
          </w:tcPr>
          <w:p w14:paraId="440E294C" w14:textId="2064011A" w:rsidR="00E827E3" w:rsidRPr="00FD694F" w:rsidRDefault="00894606" w:rsidP="00FC7A9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14:paraId="6E53291D" w14:textId="49FD6DBD" w:rsidR="00E827E3" w:rsidRPr="00FD694F" w:rsidRDefault="00894606" w:rsidP="00FC7A9F">
            <w:pPr>
              <w:jc w:val="center"/>
            </w:pPr>
            <w:r>
              <w:t>30</w:t>
            </w:r>
          </w:p>
        </w:tc>
      </w:tr>
      <w:tr w:rsidR="00E827E3" w:rsidRPr="00FD694F" w14:paraId="59A2E058" w14:textId="77777777" w:rsidTr="00FC7A9F">
        <w:trPr>
          <w:jc w:val="center"/>
        </w:trPr>
        <w:tc>
          <w:tcPr>
            <w:tcW w:w="4248" w:type="dxa"/>
          </w:tcPr>
          <w:p w14:paraId="1ED15083" w14:textId="77777777" w:rsidR="00E827E3" w:rsidRPr="00FD694F" w:rsidRDefault="00E827E3" w:rsidP="00FC7A9F">
            <w:r w:rsidRPr="00FD694F">
              <w:t>Texte 3</w:t>
            </w:r>
          </w:p>
        </w:tc>
        <w:tc>
          <w:tcPr>
            <w:tcW w:w="1559" w:type="dxa"/>
          </w:tcPr>
          <w:p w14:paraId="5F0A81C3" w14:textId="6CE3240C" w:rsidR="00E827E3" w:rsidRPr="00FD694F" w:rsidRDefault="00894606" w:rsidP="00FC7A9F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14:paraId="3120FD51" w14:textId="063AC5E3" w:rsidR="00E827E3" w:rsidRPr="00FD694F" w:rsidRDefault="00894606" w:rsidP="00FC7A9F">
            <w:pPr>
              <w:jc w:val="center"/>
            </w:pPr>
            <w:r>
              <w:t>40</w:t>
            </w:r>
          </w:p>
        </w:tc>
      </w:tr>
    </w:tbl>
    <w:p w14:paraId="69EB98C1" w14:textId="77777777" w:rsidR="00E827E3" w:rsidRPr="00FD694F" w:rsidRDefault="00E827E3" w:rsidP="00F05B2E">
      <w:pPr>
        <w:spacing w:after="0"/>
      </w:pPr>
    </w:p>
    <w:p w14:paraId="5A62998F" w14:textId="39CFBC7B" w:rsidR="00A531BE" w:rsidRPr="00FD694F" w:rsidRDefault="00A531BE" w:rsidP="00315215">
      <w:r w:rsidRPr="00251CD6">
        <w:rPr>
          <w:rStyle w:val="Titredulivre"/>
          <w:color w:val="31849B" w:themeColor="accent5" w:themeShade="BF"/>
        </w:rPr>
        <w:t>MOTS-CLES</w:t>
      </w:r>
      <w:r w:rsidRPr="00251CD6">
        <w:rPr>
          <w:color w:val="31849B" w:themeColor="accent5" w:themeShade="BF"/>
        </w:rPr>
        <w:t xml:space="preserve"> </w:t>
      </w:r>
      <w:r w:rsidR="00B45B94" w:rsidRPr="00FD694F">
        <w:t>(5 maximum)</w:t>
      </w:r>
      <w:r w:rsidR="00CB5538" w:rsidRPr="00FD694F">
        <w:t xml:space="preserve"> </w:t>
      </w:r>
    </w:p>
    <w:p w14:paraId="601A9374" w14:textId="6F5B658E" w:rsidR="00A531BE" w:rsidRPr="00FD694F" w:rsidRDefault="00A531BE" w:rsidP="00315215">
      <w:r w:rsidRPr="00FD694F">
        <w:t xml:space="preserve">Mot-clé 1, mot-clé 2, mot-clé 3. </w:t>
      </w:r>
    </w:p>
    <w:p w14:paraId="130501DF" w14:textId="4887C2BA" w:rsidR="00A531BE" w:rsidRPr="00251CD6" w:rsidRDefault="00A531BE" w:rsidP="00315215">
      <w:pPr>
        <w:rPr>
          <w:color w:val="31849B" w:themeColor="accent5" w:themeShade="BF"/>
        </w:rPr>
      </w:pPr>
      <w:r w:rsidRPr="00251CD6">
        <w:rPr>
          <w:rStyle w:val="Titredulivre"/>
          <w:color w:val="31849B" w:themeColor="accent5" w:themeShade="BF"/>
        </w:rPr>
        <w:t>RÉFÉRENCES</w:t>
      </w:r>
      <w:r w:rsidRPr="00251CD6">
        <w:rPr>
          <w:color w:val="31849B" w:themeColor="accent5" w:themeShade="BF"/>
        </w:rPr>
        <w:t xml:space="preserve"> </w:t>
      </w:r>
    </w:p>
    <w:p w14:paraId="42258E08" w14:textId="14C3101F" w:rsidR="00A531BE" w:rsidRPr="00FD694F" w:rsidRDefault="00F05B2E" w:rsidP="00F05B2E">
      <w:pPr>
        <w:spacing w:line="240" w:lineRule="auto"/>
        <w:rPr>
          <w:lang w:val="en-US"/>
        </w:rPr>
      </w:pPr>
      <w:r w:rsidRPr="00251CD6">
        <w:t xml:space="preserve">JUCKER, Tommaso, BOURIAUD, Olivier et COOMES, David A., 2015. </w:t>
      </w:r>
      <w:r w:rsidRPr="00F05B2E">
        <w:rPr>
          <w:i/>
          <w:lang w:val="en-US"/>
        </w:rPr>
        <w:t>Crown plasticity enables trees to optimize canopy packing in mixed-species forests</w:t>
      </w:r>
      <w:r w:rsidRPr="00F05B2E">
        <w:rPr>
          <w:lang w:val="en-US"/>
        </w:rPr>
        <w:t xml:space="preserve">. Functional Ecology. </w:t>
      </w:r>
      <w:proofErr w:type="spellStart"/>
      <w:r w:rsidRPr="00F05B2E">
        <w:rPr>
          <w:lang w:val="en-US"/>
        </w:rPr>
        <w:t>Août</w:t>
      </w:r>
      <w:proofErr w:type="spellEnd"/>
      <w:r w:rsidRPr="00F05B2E">
        <w:rPr>
          <w:lang w:val="en-US"/>
        </w:rPr>
        <w:t xml:space="preserve"> 2015. Vol. 29, n° 8, p. 1078-1086. DOI 10.1111/1365-2435.12428.</w:t>
      </w:r>
    </w:p>
    <w:sectPr w:rsidR="00A531BE" w:rsidRPr="00FD694F" w:rsidSect="00F5231B">
      <w:headerReference w:type="default" r:id="rId9"/>
      <w:footnotePr>
        <w:numFmt w:val="lowerLetter"/>
      </w:footnotePr>
      <w:pgSz w:w="11906" w:h="16838"/>
      <w:pgMar w:top="1418" w:right="1134" w:bottom="426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276EC" w14:textId="77777777" w:rsidR="00AB0468" w:rsidRDefault="00AB0468" w:rsidP="00315215">
      <w:r>
        <w:separator/>
      </w:r>
    </w:p>
  </w:endnote>
  <w:endnote w:type="continuationSeparator" w:id="0">
    <w:p w14:paraId="5F40CBEB" w14:textId="77777777" w:rsidR="00AB0468" w:rsidRDefault="00AB0468" w:rsidP="00315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20834" w14:textId="77777777" w:rsidR="00AB0468" w:rsidRDefault="00AB0468" w:rsidP="00D65B5E">
      <w:pPr>
        <w:spacing w:after="0" w:line="240" w:lineRule="auto"/>
      </w:pPr>
      <w:r>
        <w:separator/>
      </w:r>
    </w:p>
  </w:footnote>
  <w:footnote w:type="continuationSeparator" w:id="0">
    <w:p w14:paraId="2FD78710" w14:textId="77777777" w:rsidR="00AB0468" w:rsidRDefault="00AB0468" w:rsidP="00315215">
      <w:r>
        <w:continuationSeparator/>
      </w:r>
    </w:p>
  </w:footnote>
  <w:footnote w:id="1">
    <w:p w14:paraId="235F8327" w14:textId="6B81E9E4" w:rsidR="0024322B" w:rsidRDefault="0024322B" w:rsidP="00315215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D06EB2" w:rsidRPr="00F566BC">
        <w:rPr>
          <w:rStyle w:val="Accentuationlgre"/>
        </w:rPr>
        <w:t>À</w:t>
      </w:r>
      <w:r w:rsidRPr="00F566BC">
        <w:rPr>
          <w:rStyle w:val="Accentuationlgre"/>
        </w:rPr>
        <w:t xml:space="preserve"> la différence de la poudre noire, simple mélange mécanique de trois composants primaires, formé en grains,</w:t>
      </w:r>
      <w:r w:rsidR="00F566BC" w:rsidRPr="00F566BC">
        <w:rPr>
          <w:rStyle w:val="Accentuationlgre"/>
        </w:rPr>
        <w:t xml:space="preserve"> </w:t>
      </w:r>
      <w:r w:rsidRPr="00F566BC">
        <w:rPr>
          <w:rStyle w:val="Accentuationlgre"/>
        </w:rPr>
        <w:t>la poudre B, de structure colloïdale, était constituée de coton poudre gélatinisé dans un solvant sous forme de</w:t>
      </w:r>
      <w:r w:rsidR="00F566BC" w:rsidRPr="00F566BC">
        <w:rPr>
          <w:rStyle w:val="Accentuationlgre"/>
        </w:rPr>
        <w:t xml:space="preserve"> </w:t>
      </w:r>
      <w:r w:rsidRPr="00F566BC">
        <w:rPr>
          <w:rStyle w:val="Accentuationlgre"/>
        </w:rPr>
        <w:t>brins.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3FED" w14:textId="0090769C" w:rsidR="00255875" w:rsidRPr="009732A7" w:rsidRDefault="005E3CA8" w:rsidP="00315215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22E82F" wp14:editId="5B421B01">
              <wp:simplePos x="0" y="0"/>
              <wp:positionH relativeFrom="column">
                <wp:posOffset>-1634</wp:posOffset>
              </wp:positionH>
              <wp:positionV relativeFrom="paragraph">
                <wp:posOffset>595267</wp:posOffset>
              </wp:positionV>
              <wp:extent cx="6139543" cy="0"/>
              <wp:effectExtent l="0" t="19050" r="33020" b="19050"/>
              <wp:wrapNone/>
              <wp:docPr id="7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9543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accent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C02169B" id="Connecteur droit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46.85pt" to="483.3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" strokecolor="#4bacc6 [3208]" strokeweight="3pt"/>
          </w:pict>
        </mc:Fallback>
      </mc:AlternateContent>
    </w:r>
    <w:r w:rsidR="009732A7">
      <w:rPr>
        <w:noProof/>
      </w:rPr>
      <w:drawing>
        <wp:inline distT="0" distB="0" distL="0" distR="0" wp14:anchorId="377AC54D" wp14:editId="5FE1DE07">
          <wp:extent cx="1543050" cy="590561"/>
          <wp:effectExtent l="0" t="0" r="0" b="0"/>
          <wp:docPr id="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152394" name="Image 16521523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483" cy="5941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A2429"/>
    <w:multiLevelType w:val="hybridMultilevel"/>
    <w:tmpl w:val="C5DE8154"/>
    <w:lvl w:ilvl="0" w:tplc="F8C2E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3097C"/>
    <w:multiLevelType w:val="hybridMultilevel"/>
    <w:tmpl w:val="18B2CC08"/>
    <w:lvl w:ilvl="0" w:tplc="2CDC6B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D9221A6"/>
    <w:multiLevelType w:val="hybridMultilevel"/>
    <w:tmpl w:val="887C9446"/>
    <w:lvl w:ilvl="0" w:tplc="809EAF8E">
      <w:start w:val="1"/>
      <w:numFmt w:val="decimal"/>
      <w:pStyle w:val="Reference"/>
      <w:lvlText w:val="[%1]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D71920"/>
    <w:multiLevelType w:val="hybridMultilevel"/>
    <w:tmpl w:val="EEB8A5E2"/>
    <w:lvl w:ilvl="0" w:tplc="2CDC6B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9D031DA"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6251125">
    <w:abstractNumId w:val="0"/>
  </w:num>
  <w:num w:numId="2" w16cid:durableId="512500838">
    <w:abstractNumId w:val="2"/>
  </w:num>
  <w:num w:numId="3" w16cid:durableId="917904031">
    <w:abstractNumId w:val="3"/>
  </w:num>
  <w:num w:numId="4" w16cid:durableId="1848398475">
    <w:abstractNumId w:val="1"/>
  </w:num>
  <w:num w:numId="5" w16cid:durableId="1521044871">
    <w:abstractNumId w:val="1"/>
  </w:num>
  <w:num w:numId="6" w16cid:durableId="848639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6B"/>
    <w:rsid w:val="0001269E"/>
    <w:rsid w:val="00050BE3"/>
    <w:rsid w:val="00051964"/>
    <w:rsid w:val="000B548B"/>
    <w:rsid w:val="001763D6"/>
    <w:rsid w:val="001C2B81"/>
    <w:rsid w:val="00240890"/>
    <w:rsid w:val="0024322B"/>
    <w:rsid w:val="00250040"/>
    <w:rsid w:val="00251CD6"/>
    <w:rsid w:val="00255875"/>
    <w:rsid w:val="00264D8E"/>
    <w:rsid w:val="00272955"/>
    <w:rsid w:val="00315215"/>
    <w:rsid w:val="00330CD6"/>
    <w:rsid w:val="003316A4"/>
    <w:rsid w:val="003D79ED"/>
    <w:rsid w:val="003F2442"/>
    <w:rsid w:val="003F5171"/>
    <w:rsid w:val="0045040E"/>
    <w:rsid w:val="00457DD7"/>
    <w:rsid w:val="004C399B"/>
    <w:rsid w:val="0053483B"/>
    <w:rsid w:val="0057286B"/>
    <w:rsid w:val="00574044"/>
    <w:rsid w:val="00575F27"/>
    <w:rsid w:val="005850BD"/>
    <w:rsid w:val="00596A51"/>
    <w:rsid w:val="005C7F8C"/>
    <w:rsid w:val="005E39B8"/>
    <w:rsid w:val="005E3CA8"/>
    <w:rsid w:val="00605693"/>
    <w:rsid w:val="006243F1"/>
    <w:rsid w:val="006468D6"/>
    <w:rsid w:val="00683F2C"/>
    <w:rsid w:val="006D4EA5"/>
    <w:rsid w:val="006E42ED"/>
    <w:rsid w:val="007271FA"/>
    <w:rsid w:val="00737D92"/>
    <w:rsid w:val="007409B8"/>
    <w:rsid w:val="007A6512"/>
    <w:rsid w:val="008122EB"/>
    <w:rsid w:val="00894606"/>
    <w:rsid w:val="008A5F35"/>
    <w:rsid w:val="009378C4"/>
    <w:rsid w:val="009732A7"/>
    <w:rsid w:val="00987478"/>
    <w:rsid w:val="009C0A77"/>
    <w:rsid w:val="009E59B7"/>
    <w:rsid w:val="00A10CD2"/>
    <w:rsid w:val="00A506E6"/>
    <w:rsid w:val="00A531BE"/>
    <w:rsid w:val="00A5504F"/>
    <w:rsid w:val="00A55782"/>
    <w:rsid w:val="00A87000"/>
    <w:rsid w:val="00A973AC"/>
    <w:rsid w:val="00AB0468"/>
    <w:rsid w:val="00AC580D"/>
    <w:rsid w:val="00B45B94"/>
    <w:rsid w:val="00B87892"/>
    <w:rsid w:val="00BA390E"/>
    <w:rsid w:val="00C1344B"/>
    <w:rsid w:val="00C33405"/>
    <w:rsid w:val="00C34BF4"/>
    <w:rsid w:val="00C34DCE"/>
    <w:rsid w:val="00C53CDA"/>
    <w:rsid w:val="00CA365E"/>
    <w:rsid w:val="00CB5538"/>
    <w:rsid w:val="00D06EB2"/>
    <w:rsid w:val="00D17389"/>
    <w:rsid w:val="00D33E41"/>
    <w:rsid w:val="00D415AC"/>
    <w:rsid w:val="00D65B5E"/>
    <w:rsid w:val="00DA7A80"/>
    <w:rsid w:val="00DF46BC"/>
    <w:rsid w:val="00E026CB"/>
    <w:rsid w:val="00E311BB"/>
    <w:rsid w:val="00E53A54"/>
    <w:rsid w:val="00E56CE1"/>
    <w:rsid w:val="00E827E3"/>
    <w:rsid w:val="00E83C44"/>
    <w:rsid w:val="00ED410F"/>
    <w:rsid w:val="00EE3BDD"/>
    <w:rsid w:val="00EF1EFA"/>
    <w:rsid w:val="00EF4818"/>
    <w:rsid w:val="00F05B2E"/>
    <w:rsid w:val="00F106D5"/>
    <w:rsid w:val="00F5231B"/>
    <w:rsid w:val="00F566BC"/>
    <w:rsid w:val="00FC7A9F"/>
    <w:rsid w:val="00FD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31FF7"/>
  <w15:docId w15:val="{D12D2AF6-28A9-491B-A8AA-91DCE29F6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215"/>
    <w:pPr>
      <w:jc w:val="both"/>
    </w:pPr>
    <w:rPr>
      <w:sz w:val="20"/>
      <w:szCs w:val="20"/>
    </w:rPr>
  </w:style>
  <w:style w:type="paragraph" w:styleId="Titre1">
    <w:name w:val="heading 1"/>
    <w:basedOn w:val="Normal"/>
    <w:next w:val="Corpsdetexte"/>
    <w:link w:val="Titre1Car"/>
    <w:qFormat/>
    <w:rsid w:val="00FC7A9F"/>
    <w:pPr>
      <w:spacing w:before="240"/>
      <w:outlineLvl w:val="0"/>
    </w:pPr>
    <w:rPr>
      <w:b/>
      <w:i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rsid w:val="00E311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C7A9F"/>
    <w:rPr>
      <w:b/>
      <w:i/>
      <w:sz w:val="20"/>
      <w:szCs w:val="20"/>
    </w:rPr>
  </w:style>
  <w:style w:type="paragraph" w:styleId="Corpsdetexte">
    <w:name w:val="Body Text"/>
    <w:basedOn w:val="Normal"/>
    <w:link w:val="CorpsdetexteCar"/>
    <w:rsid w:val="0057286B"/>
    <w:pPr>
      <w:spacing w:after="12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sdetexteCar">
    <w:name w:val="Corps de texte Car"/>
    <w:basedOn w:val="Policepardfaut"/>
    <w:link w:val="Corpsdetexte"/>
    <w:rsid w:val="005728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uthor">
    <w:name w:val="Author"/>
    <w:basedOn w:val="Normal"/>
    <w:rsid w:val="0057286B"/>
    <w:pPr>
      <w:spacing w:after="0" w:line="240" w:lineRule="auto"/>
    </w:pPr>
    <w:rPr>
      <w:rFonts w:ascii="Arial" w:eastAsia="Times New Roman" w:hAnsi="Arial" w:cs="Arial"/>
      <w:lang w:val="en-US"/>
    </w:rPr>
  </w:style>
  <w:style w:type="paragraph" w:styleId="Titre">
    <w:name w:val="Title"/>
    <w:basedOn w:val="Normal"/>
    <w:link w:val="TitreCar"/>
    <w:qFormat/>
    <w:rsid w:val="0024322B"/>
    <w:pPr>
      <w:jc w:val="center"/>
    </w:pPr>
    <w:rPr>
      <w:b/>
      <w:sz w:val="28"/>
    </w:rPr>
  </w:style>
  <w:style w:type="character" w:customStyle="1" w:styleId="TitreCar">
    <w:name w:val="Titre Car"/>
    <w:basedOn w:val="Policepardfaut"/>
    <w:link w:val="Titre"/>
    <w:rsid w:val="0024322B"/>
    <w:rPr>
      <w:b/>
      <w:sz w:val="28"/>
      <w:szCs w:val="20"/>
    </w:rPr>
  </w:style>
  <w:style w:type="character" w:styleId="Marquedecommentaire">
    <w:name w:val="annotation reference"/>
    <w:uiPriority w:val="99"/>
    <w:semiHidden/>
    <w:rsid w:val="005728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57286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7286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72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286B"/>
    <w:rPr>
      <w:rFonts w:ascii="Tahoma" w:hAnsi="Tahoma" w:cs="Tahoma"/>
      <w:sz w:val="16"/>
      <w:szCs w:val="16"/>
    </w:rPr>
  </w:style>
  <w:style w:type="paragraph" w:customStyle="1" w:styleId="SFGPrfrences">
    <w:name w:val="SFGP_références"/>
    <w:basedOn w:val="Normal"/>
    <w:rsid w:val="00C53CDA"/>
    <w:pPr>
      <w:spacing w:after="0" w:line="264" w:lineRule="auto"/>
      <w:ind w:left="142" w:hanging="142"/>
    </w:pPr>
    <w:rPr>
      <w:rFonts w:ascii="Times New Roman" w:eastAsia="Times New Roman" w:hAnsi="Times New Roman" w:cs="Times New Roman"/>
      <w:kern w:val="28"/>
      <w:sz w:val="18"/>
      <w:lang w:val="en-GB" w:eastAsia="es-ES"/>
    </w:rPr>
  </w:style>
  <w:style w:type="paragraph" w:customStyle="1" w:styleId="Reference">
    <w:name w:val="Reference"/>
    <w:basedOn w:val="Normal"/>
    <w:rsid w:val="00987478"/>
    <w:pPr>
      <w:numPr>
        <w:numId w:val="2"/>
      </w:numPr>
      <w:spacing w:after="12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E311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quation">
    <w:name w:val="Equation"/>
    <w:basedOn w:val="Normal"/>
    <w:rsid w:val="00E311BB"/>
    <w:pPr>
      <w:tabs>
        <w:tab w:val="right" w:pos="7200"/>
      </w:tabs>
      <w:spacing w:before="120" w:after="36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Lgende">
    <w:name w:val="caption"/>
    <w:basedOn w:val="Normal"/>
    <w:next w:val="Normal"/>
    <w:rsid w:val="00E311BB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TableTitle">
    <w:name w:val="Table Title"/>
    <w:basedOn w:val="Normal"/>
    <w:rsid w:val="00E311BB"/>
    <w:pPr>
      <w:spacing w:after="12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Paragraphedeliste">
    <w:name w:val="List Paragraph"/>
    <w:basedOn w:val="Normal"/>
    <w:uiPriority w:val="34"/>
    <w:qFormat/>
    <w:rsid w:val="00E311BB"/>
    <w:pPr>
      <w:ind w:left="720"/>
      <w:contextualSpacing/>
    </w:pPr>
    <w:rPr>
      <w:lang w:val="de-CH"/>
    </w:rPr>
  </w:style>
  <w:style w:type="character" w:customStyle="1" w:styleId="object">
    <w:name w:val="object"/>
    <w:basedOn w:val="Policepardfaut"/>
    <w:rsid w:val="00EF4818"/>
  </w:style>
  <w:style w:type="character" w:styleId="Lienhypertexte">
    <w:name w:val="Hyperlink"/>
    <w:basedOn w:val="Policepardfaut"/>
    <w:uiPriority w:val="99"/>
    <w:unhideWhenUsed/>
    <w:rsid w:val="00EF4818"/>
    <w:rPr>
      <w:color w:val="0000FF"/>
      <w:u w:val="single"/>
    </w:rPr>
  </w:style>
  <w:style w:type="paragraph" w:styleId="Sansinterligne">
    <w:name w:val="No Spacing"/>
    <w:uiPriority w:val="1"/>
    <w:rsid w:val="00EF4818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25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5875"/>
  </w:style>
  <w:style w:type="paragraph" w:styleId="Pieddepage">
    <w:name w:val="footer"/>
    <w:basedOn w:val="Normal"/>
    <w:link w:val="PieddepageCar"/>
    <w:uiPriority w:val="99"/>
    <w:unhideWhenUsed/>
    <w:rsid w:val="0025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5875"/>
  </w:style>
  <w:style w:type="paragraph" w:styleId="Sous-titre">
    <w:name w:val="Subtitle"/>
    <w:basedOn w:val="Normal"/>
    <w:next w:val="Normal"/>
    <w:link w:val="Sous-titreCar"/>
    <w:uiPriority w:val="11"/>
    <w:rsid w:val="00457DD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457DD7"/>
    <w:rPr>
      <w:rFonts w:eastAsiaTheme="minorEastAsia"/>
      <w:color w:val="5A5A5A" w:themeColor="text1" w:themeTint="A5"/>
      <w:spacing w:val="15"/>
    </w:rPr>
  </w:style>
  <w:style w:type="character" w:styleId="Mentionnonrsolue">
    <w:name w:val="Unresolved Mention"/>
    <w:basedOn w:val="Policepardfaut"/>
    <w:uiPriority w:val="99"/>
    <w:semiHidden/>
    <w:unhideWhenUsed/>
    <w:rsid w:val="0053483B"/>
    <w:rPr>
      <w:color w:val="605E5C"/>
      <w:shd w:val="clear" w:color="auto" w:fill="E1DFDD"/>
    </w:rPr>
  </w:style>
  <w:style w:type="character" w:styleId="Accentuation">
    <w:name w:val="Emphasis"/>
    <w:basedOn w:val="Policepardfaut"/>
    <w:uiPriority w:val="20"/>
    <w:rsid w:val="0024322B"/>
    <w:rPr>
      <w:i/>
      <w:iCs/>
    </w:rPr>
  </w:style>
  <w:style w:type="paragraph" w:styleId="Notedebasdepage">
    <w:name w:val="footnote text"/>
    <w:basedOn w:val="Normal"/>
    <w:link w:val="NotedebasdepageCar"/>
    <w:uiPriority w:val="99"/>
    <w:unhideWhenUsed/>
    <w:rsid w:val="0024322B"/>
    <w:pPr>
      <w:spacing w:after="0"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rsid w:val="0024322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4322B"/>
    <w:rPr>
      <w:vertAlign w:val="superscript"/>
    </w:rPr>
  </w:style>
  <w:style w:type="character" w:styleId="Accentuationlgre">
    <w:name w:val="Subtle Emphasis"/>
    <w:basedOn w:val="Policepardfaut"/>
    <w:uiPriority w:val="19"/>
    <w:rsid w:val="00F566BC"/>
    <w:rPr>
      <w:i/>
      <w:iCs/>
      <w:color w:val="404040" w:themeColor="text1" w:themeTint="BF"/>
      <w:sz w:val="18"/>
    </w:rPr>
  </w:style>
  <w:style w:type="character" w:styleId="Rfrencelgre">
    <w:name w:val="Subtle Reference"/>
    <w:uiPriority w:val="31"/>
    <w:qFormat/>
    <w:rsid w:val="00315215"/>
    <w:rPr>
      <w:rFonts w:ascii="Calibri" w:hAnsi="Calibri"/>
      <w:i/>
      <w:color w:val="7F7F7F" w:themeColor="text1" w:themeTint="80"/>
      <w:sz w:val="18"/>
      <w:szCs w:val="18"/>
    </w:rPr>
  </w:style>
  <w:style w:type="character" w:styleId="Titredulivre">
    <w:name w:val="Book Title"/>
    <w:basedOn w:val="Policepardfaut"/>
    <w:uiPriority w:val="33"/>
    <w:qFormat/>
    <w:rsid w:val="00FC7A9F"/>
    <w:rPr>
      <w:b/>
      <w:bCs/>
      <w:i/>
      <w:iCs/>
      <w:spacing w:val="5"/>
    </w:rPr>
  </w:style>
  <w:style w:type="table" w:styleId="Grilledutableau">
    <w:name w:val="Table Grid"/>
    <w:basedOn w:val="TableauNormal"/>
    <w:uiPriority w:val="59"/>
    <w:rsid w:val="00FC7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60E04-8D3C-4F4A-9D8C-859F510A7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fargant1</dc:creator>
  <cp:lastModifiedBy>Emilie Fargant</cp:lastModifiedBy>
  <cp:revision>12</cp:revision>
  <cp:lastPrinted>2018-09-04T10:13:00Z</cp:lastPrinted>
  <dcterms:created xsi:type="dcterms:W3CDTF">2026-09-17T12:06:00Z</dcterms:created>
  <dcterms:modified xsi:type="dcterms:W3CDTF">2026-09-21T10:18:00Z</dcterms:modified>
</cp:coreProperties>
</file>